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342 vom 7. Mai 1980</w:t>
      </w:r>
    </w:p>
    <w:p>
      <w:r>
        <w:t>Bundesgericht (BGE), 1980-05-07, DE</w:t>
      </w:r>
    </w:p>
    <w:p>
      <w:r>
        <w:rPr>
          <w:b/>
        </w:rPr>
        <w:t xml:space="preserve">Quelle: </w:t>
      </w:r>
      <w:r>
        <w:t>https://mcp.opencaselaw.ch/entscheid/bge_119 IA 342</w:t>
      </w:r>
    </w:p>
    <w:p>
      <w:r>
        <w:t>FR: BGE 119 IA 342 du 7 mai 1980</w:t>
      </w:r>
    </w:p>
    <w:p>
      <w:r>
        <w:t>IT: BGE 119 IA 342 del 7 maggio 1980</w:t>
      </w:r>
    </w:p>
    <w:p>
      <w:pPr>
        <w:pStyle w:val="Heading2"/>
      </w:pPr>
      <w:r>
        <w:t>Regeste</w:t>
      </w:r>
    </w:p>
    <w:p>
      <w:r>
        <w:t>Regeste Art. 4 BV, § 395 Abs. 1 Ziff. 2 StPO/ZH, Art. 251 StGB; Willkür; Strafverfahren, Rekurslegitimation des Geschädigten. Der einzelne Gesellschafter muss, wenn alle übrigen Mitgesellschafter Straftaten zum Nachteil der einfachen Gesellschaft begangen haben, allein ein Rechtsmittel zu deren Schutz ergreifen können (E. 2a). Eine Schädigung von Individualinteressen durch eine Urkundenfälschung ist möglich, namentlich wenn sie Bestandteil eines schädigenden Vermögensdeliktes ist; es ist deshalb willkürlich, die Rekurslegitimation eines Geschädigten zu verneinen, weil es bei der Urkundenfälschung keinen Geschädigten gebe (E. 2b).</w:t>
      </w:r>
    </w:p>
    <w:p>
      <w:pPr>
        <w:pStyle w:val="Heading2"/>
      </w:pPr>
      <w:r>
        <w:t>Erwägungen</w:t>
      </w:r>
    </w:p>
    <w:p>
      <w:r>
        <w:rPr>
          <w:b/>
        </w:rPr>
        <w:t>E. 2</w:t>
      </w:r>
    </w:p>
    <w:p>
      <w:r>
        <w:t>Gemäss § 395 Abs. 1 Ziff. 2 StPO /ZH sind zur Ergreifung der Rechtsmittel legitimiert "die Privatkläger sowie die Personen, welchen durch die der gerichtlichen Beurteilung unterstellten Handlungen unmittelbar ein Schaden zugefügt wurde oder zu erwachsen drohte (Geschädigte)". Nach der Rechtsprechung der zürcherischen Gerichte wie auch nach der in der Literatur vorherrschenden Auffassung ist Geschädigter nur der unmittelbar Verletzte, d.h. der Träger des durch die Strafdrohung geschützten Rechts oder Rechtsgutes, gegen das sich die Straftat ihrem Begriff nach richtet (Urteile des Obergerichts und des Kassationsgerichts des Kantons Zürich, publiziert in SJZ 71/1975 S. 64 Nr. 30 und S. 282 ff.; BAUMANN, Die Stellung des Geschädigten im schweizerischen Strafprozess, Diss. Zürich 1958, S. 21 f.; HARTMANN, Die Stellung des Geschädigten sowie BGE 119 Ia 342 S. 345 von Dritten im zürcherischen Strafprozess, Kriminalistik 1970, S. 458; BRUNNER, Die Stellung des Geschädigten im zürcherischen Offizial- und subsidiären Privatstrafklageverfahren, Diss. Zürich 1976, S. 27; HAUSER, Kurzlehrbuch des schweizerischen Strafprozessrechts, 2. Aufl., S. 82; SCHMID, Strafprozessrecht, 2. Aufl. 1993, N 502 ff.). a) Sofern der Gesellschaftsvertrag nicht anders bestimmt, gehören bei einer einfachen Gesellschaft alle Vermögenswerte den Gesellschaftern gemeinschaftlich, zu gesamter Hand ( Art. 544 Abs. 1 OR ); das Recht eines jeden Gesellschafters geht auf die ganze Sache ( Art. 652 ZGB ). Die Rechte der Gemeinschaft können daher nur von allen Gesellschaftern gemeinsam, gegebenenfalls durch bevollmächtigte Stellvertreter, wahrgenommen werden ( Art. 653 Abs. 2 ZGB ; VON STEIGER, Schweizerisches Privatrecht, Bd. VIII/1, Basel 1976, S. 382; GULDENER, Schweizerisches Zivilprozessrecht, 3. Aufl., S. 296-298; vgl. auch BGE 102 Ia 430 E. 3). Dies betrifft jedoch nur Fälle, in denen es um Ansprüche der Gesellschaft gegenüber Dritten geht. In seiner Rechtsprechung zur Erbengemeinschaft, gemäss Art. 602 Abs. 2 ZGB ebenfalls eine Gemeinschaft in Gesamthand, hat das Bundesgericht Rechtsmittel einzelner Erben zugelassen, wenn ein zur Erbschaft gehörender Anspruch gegenüber einzelnen Miterben von allen übrigen Erben geltend gemacht wird, oder wenn der Rechtsstreit Schulden der Gesamthand betrifft, für welche die einzelnen Erben solidarisch haften ( BGE 102 Ia 430 E. 3, BGE 93 II 11 E. 2b, je mit Hinweisen). Bereits in BGE 54 II 243 wurde die Legitimation zweier Erben in einer aus drei Personen bestehenden Erbengemeinschaft bejaht, die gegen den dritten Miterben einen Anspruch gerichtlich durchsetzen wollten; denn mit dem Prinzip der gemeinsamen Klageerhebung solle vermieden werden, dass ein einzelner Erbe ohne Rücksicht auf seine Miterben Klage erhebe und diese durch unsorgfältige Prozessführung um ihren Anspruch bringe; es bestehe aber kein Grund, einzelne Erben nicht von sich aus gegen alle übrigen Miterben vorgehen zu lassen, weil in diesem Fall alle Erben Prozesspartei seien und sich über ihre gegenseitigen Rechtsansprüche auseinandersetzen könnten. Entsprechendes muss auch für die einfache Gesellschaft gelten, um die es im zu beurteilenden Fall geht. Bei strafbaren Handlungen Dritter zum Nachteil der einfachen Gesellschaft werden deren Mitglieder gemeinsam als Geschädigte bzw. als für die Gesellschaft Handlungsberechtigte gemäss § 395 Abs. 1 Ziff. 2 StPO /ZH betrachtet; also muss auch der einzelne Gesellschafter ein Rechtsmittel BGE 119 Ia 342 S. 346 ergreifen können, wenn die übrigen Mitgesellschafter Straftaten zum Nachteil der einfachen Gesellschaft begangen haben, denn nur so können deren Rechte gewahrt werden. Dadurch wird der einzelne Gesellschafter nicht als unmittelbar Geschädigter betrachtet, es wird ihm nur das Recht zugestanden, ausnahmsweise allein für die einfache Gesellschaft zu handeln. Diese Ausnahme drängt sich auf, weil der Umstand, dass die Mitglieder einer einfachen Gesellschaft nur gemeinsam oder in Ausübung eines Vertretungsauftrags für die Gesellschaft handeln können, nicht dazu führen darf, dass die einfache Gesellschaft im Verhältnis zu ihren Gesellschaftern des strafprozessualen Schutzes verlustig geht, den § 395 Abs. 1 Ziff. 2 StPO /ZH gewährt. Diese Alleinvertretungsbefugnis eines Gesellschafters ist, wie oben angeführt, auch unbedenklich, weil die übrigen Mitgesellschafter vom Rekurs gegen die Einstellungsverfügung betroffen und Partei im Rekursverfahren sind, so dass eine Auseinandersetzung unter allen Gesellschaftern stattfindet. Es ist also sachlich in keiner Weise gerechtfertigt, H. die Rekurslegitimation abzusprechen, und die Auffassung der Staatsanwaltschaft, dieser hätte den Rekurs nur zusammen mit allen anderen Gesellschaftern oder in Ausübung eines entsprechenden Vertretungsauftrags erheben können, ist offensichtlich unhaltbar. Dies war klarerweise nicht möglich, da es ausgeschlossen war, dass die Mitgesellschafter einem Rekurs gegen die Einstellung der gegen sie gerichteten Strafuntersuchung zustimmen würden. Die Staatsanwaltschaft Zürich verletzte daher das Willkürverbot gemäss Art. 4 BV ( BGE 118 Ia 497 E. 2a). b) Das gleiche gilt, soweit in bezug auf den Vorwurf der Urkundenfälschung auf den Rekurs des Beschwerdeführers nicht eingetreten wurde, weil es bei Art. 251 StGB keinen Geschädigten im Sinne von § 395 Abs. 1 Ziff. 2 StPO /ZH gebe. Bei einer Verletzung von Strafnormen, die nicht primär Individualrechtsgüter schützen, wird angenommen, diejenigen Personen könnten als Geschädigte betrachtet werden, die durch derartige Delikte tatsächlich in ihren Rechten beeinträchtigt werden, sofern diese Beeinträchtigung unmittelbare Folge der tatbestandsmässigen Handlung ist ( BGE 118 Ia 14 E. 2b; BGE 117 Ia 135 E. 2a mit Hinweisen; SCHMID, a.a.O., N 508). Urkundenfälschung stellt sowohl ein Tätigkeits- als auch ein abstraktes Gefährdungsdelikt dar, eine Schädigung von Individualinteressen ist also grundsätzlich möglich, auch wenn in erster Linie Treu und Glauben im Geschäftsverkehr geschützt sind ( BGE 101 IV 53 E. 3a S. 59, BGE 97 IV 205 E. 2 S. 209). Nach HAUSER (a.a.O., S. 83) ist bei Urkundendelikten die von der BGE 119 Ia 342 S. 347 Tat betroffene Person Geschädigter, soweit der Beschuldigte auf dessen Benachteiligung abzielt (vgl. auch SCHUBARTH, Kommentar Strafrecht, 2. Band, Art. 148 N 127 ). Auch das Zürcher Kassationsgericht bejaht bei Urkundenfälschung die Geschädigtenstellung nach § 395 Abs. 1 Ziff. 2 StPO /ZH grundsätzlich, falls durch die tatbestandsmässige Handlung allein ein individuelles Recht bzw. Rechtsgut beeinträchtigt werde, wenn also die Urkundenfälschung gleichzeitig Bestandteil der schädigenden Vermögensdelikte sei (SJZ 71/1975, S. 283). H. wirft den beiden Beschwerdegegnern vor, unrechtmässige Geldbezüge durch Vorlage falscher Bilanzen und Erfolgsrechnungen verschleiert zu haben, wodurch er diesen in Unkenntnis der Entnahmen zugestimmt und dabei für sich einen zu tiefen Gewinnanteil akzeptiert habe. Mithin wäre er aber durch die Fälschung der Bilanzen im Sinne der zitierten Rechtsprechung geschädigt, da sowohl sein Anspruch auf Information gemäss Art. 541 OR als auch sein Anteil am jährlichen Gewinn gemäss Art. 533 OR und Ziffer 4.3 des Gesellschaftsvertrages durch die tatbestandsmässige Handlung unmittelbar beeinträchtigt wären. Die gegenteilige Annahme ist offensichtlich unhaltbar. Auch in diesem Punkte hält die Verneinung der Rekurslegitimation nach § 395 Abs. 1 Ziff. 2 StPO /ZH daher vor dem Willkürverbot nicht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